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8B1EA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2：</w:t>
      </w:r>
    </w:p>
    <w:p w14:paraId="657A7D6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 w14:paraId="0E5737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跨国公司中国区总部/亚太区总部／事业部</w:t>
      </w:r>
    </w:p>
    <w:p w14:paraId="178BAE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全球总部授权书</w:t>
      </w:r>
    </w:p>
    <w:bookmarkEnd w:id="0"/>
    <w:p w14:paraId="3A3CCA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1"/>
          <w:szCs w:val="31"/>
          <w:lang w:val="en-US" w:eastAsia="zh-CN" w:bidi="ar"/>
        </w:rPr>
        <w:t>（谨供参考）</w:t>
      </w:r>
    </w:p>
    <w:p w14:paraId="5D96942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color w:val="000000"/>
          <w:sz w:val="31"/>
          <w:szCs w:val="31"/>
        </w:rPr>
      </w:pPr>
    </w:p>
    <w:p w14:paraId="42D637D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本公司授权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公司作为唯一中国区总部/亚太区总部／事业部全球总部，履行企业在中国境内（含港、澳、台地区）／中国、东亚、东南亚、南亚等主要国家和经济区域／全球范围内以下职能（根据实际情况自行选择填写）：</w:t>
      </w:r>
    </w:p>
    <w:p w14:paraId="2E6913D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（一）投资经营决策；</w:t>
      </w:r>
    </w:p>
    <w:p w14:paraId="58AD1F5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（二）资金运作和财务管理；</w:t>
      </w:r>
    </w:p>
    <w:p w14:paraId="2032EDE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（三）研究开发和技术支持；</w:t>
      </w:r>
    </w:p>
    <w:p w14:paraId="1EDC908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（四）商品采购、销售及市场营销服务；</w:t>
      </w:r>
    </w:p>
    <w:p w14:paraId="5E859DF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（五）供应链管理等物流运作；</w:t>
      </w:r>
    </w:p>
    <w:p w14:paraId="57F1D5E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（六）本公司集团内部的共享服务及境外公司的服务外包；</w:t>
      </w:r>
    </w:p>
    <w:p w14:paraId="2E7E3CF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（七）员工培训与管理；</w:t>
      </w:r>
    </w:p>
    <w:p w14:paraId="091424F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（八）......</w:t>
      </w:r>
    </w:p>
    <w:p w14:paraId="38DED7E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管理以下企业：</w:t>
      </w:r>
    </w:p>
    <w:p w14:paraId="1A12BF8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1.</w:t>
      </w:r>
    </w:p>
    <w:p w14:paraId="2641784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2.</w:t>
      </w:r>
    </w:p>
    <w:p w14:paraId="682CEB9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3.</w:t>
      </w:r>
    </w:p>
    <w:p w14:paraId="7D74CFE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......</w:t>
      </w:r>
    </w:p>
    <w:p w14:paraId="7078C8E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color w:val="000000"/>
          <w:sz w:val="31"/>
          <w:szCs w:val="31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特此授权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为中国区总部/亚太区总部/事业部全球总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lang w:eastAsia="zh-CN"/>
        </w:rPr>
        <w:t>部法定代表人。</w:t>
      </w:r>
    </w:p>
    <w:p w14:paraId="5F1C5F4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color w:val="000000"/>
          <w:sz w:val="31"/>
          <w:szCs w:val="31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lang w:eastAsia="zh-CN"/>
        </w:rPr>
        <w:t>特此授权。</w:t>
      </w:r>
    </w:p>
    <w:p w14:paraId="772C2FF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color w:val="000000"/>
          <w:sz w:val="31"/>
          <w:szCs w:val="31"/>
        </w:rPr>
      </w:pPr>
    </w:p>
    <w:p w14:paraId="64625CC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母公司：</w:t>
      </w:r>
    </w:p>
    <w:p w14:paraId="4334548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有权签字人：</w:t>
      </w:r>
    </w:p>
    <w:p w14:paraId="3B37744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职务：</w:t>
      </w:r>
    </w:p>
    <w:p w14:paraId="38E991C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1"/>
          <w:szCs w:val="31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color w:val="000000"/>
          <w:sz w:val="31"/>
          <w:szCs w:val="31"/>
        </w:rPr>
        <w:t>日期：</w:t>
      </w:r>
    </w:p>
    <w:p w14:paraId="2B5081D3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D5B6E0E9-2BFC-4AA1-B7CC-34586D1AE74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DA94C75-A717-4015-8CAD-0B7F54BD212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62E5A5B-57F2-48EF-A25B-83DA575F778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C1904BB2-2657-4958-952F-1ADF0514F3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B730D1"/>
    <w:rsid w:val="45B730D1"/>
    <w:rsid w:val="6FE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2026-07-28T01:37:00Z</dcterms:created>
  <dc:creator>锋</dc:creator>
  <cp:lastModifiedBy>锋</cp:lastModifiedBy>
  <dcterms:modified xsi:type="dcterms:W3CDTF">2026-07-28T01:43:25Z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75D1D21E616B42479D1212EF140869A5_11</vt:lpwstr>
  </property>
  <property fmtid="{D5CDD505-2E9C-101B-9397-08002B2CF9AE}" pid="4" name="KSOTemplateDocerSaveRecord">
    <vt:lpwstr>eyJoZGlkIjoiOTMzZjcwNmVjZDEyMDJkMWExZTJhYzJlNDc2NDNiNjgiLCJ1c2VySWQiOiIyNjY3OTk2NjMifQ==</vt:lpwstr>
  </property>
</Properties>
</file>