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3568" w:rsidRDefault="007E3568" w:rsidP="007E3568">
      <w:pPr>
        <w:spacing w:line="360" w:lineRule="auto"/>
        <w:jc w:val="center"/>
        <w:rPr>
          <w:rFonts w:ascii="华康简标题宋" w:eastAsia="华康简标题宋" w:hAnsi="Times New Roman"/>
          <w:sz w:val="36"/>
          <w:szCs w:val="36"/>
        </w:rPr>
      </w:pPr>
      <w:r>
        <w:rPr>
          <w:rFonts w:ascii="华康简标题宋" w:eastAsia="华康简标题宋" w:hAnsi="Times New Roman" w:hint="eastAsia"/>
          <w:sz w:val="36"/>
          <w:szCs w:val="36"/>
        </w:rPr>
        <w:t>东莞市加工贸易管理服务平台软硬件</w:t>
      </w:r>
    </w:p>
    <w:p w:rsidR="007E3568" w:rsidRDefault="007E3568" w:rsidP="007E3568">
      <w:pPr>
        <w:spacing w:line="360" w:lineRule="auto"/>
        <w:jc w:val="center"/>
        <w:rPr>
          <w:rFonts w:ascii="华康简标题宋" w:eastAsia="华康简标题宋" w:hAnsi="Times New Roman" w:hint="eastAsia"/>
          <w:sz w:val="36"/>
          <w:szCs w:val="36"/>
        </w:rPr>
      </w:pPr>
      <w:r>
        <w:rPr>
          <w:rFonts w:ascii="华康简标题宋" w:eastAsia="华康简标题宋" w:hAnsi="Times New Roman" w:hint="eastAsia"/>
          <w:sz w:val="36"/>
          <w:szCs w:val="36"/>
        </w:rPr>
        <w:t>建设项目绩效评价基本情况报告</w:t>
      </w:r>
    </w:p>
    <w:p w:rsidR="007E3568" w:rsidRDefault="007E3568" w:rsidP="007E3568">
      <w:pPr>
        <w:pStyle w:val="20"/>
        <w:rPr>
          <w:rFonts w:hint="eastAsia"/>
        </w:rPr>
      </w:pPr>
    </w:p>
    <w:p w:rsidR="007E3568" w:rsidRDefault="007E3568" w:rsidP="007E3568">
      <w:pPr>
        <w:pStyle w:val="20"/>
        <w:jc w:val="both"/>
        <w:rPr>
          <w:rFonts w:hint="eastAsia"/>
        </w:rPr>
      </w:pPr>
      <w:r>
        <w:rPr>
          <w:rFonts w:hint="eastAsia"/>
        </w:rPr>
        <w:t>为了客观评价东莞市加工贸易管理服务平台软硬件项目建设情况，受东莞市财政局委托，我们组织了有关专家对东莞市加工贸易管理服务平台软硬件建设项目实施了绩效评价，现将有关情况汇报如下：</w:t>
      </w:r>
    </w:p>
    <w:p w:rsidR="007E3568" w:rsidRDefault="007E3568" w:rsidP="007E3568">
      <w:pPr>
        <w:pStyle w:val="a3"/>
        <w:spacing w:line="240" w:lineRule="auto"/>
        <w:ind w:firstLineChars="200" w:firstLine="640"/>
        <w:jc w:val="both"/>
        <w:rPr>
          <w:rFonts w:ascii="黑体" w:eastAsia="黑体" w:hAnsi="黑体" w:hint="eastAsia"/>
          <w:b w:val="0"/>
        </w:rPr>
      </w:pPr>
      <w:bookmarkStart w:id="0" w:name="_Toc433124932"/>
      <w:r>
        <w:rPr>
          <w:rFonts w:ascii="黑体" w:eastAsia="黑体" w:hAnsi="黑体" w:hint="eastAsia"/>
          <w:b w:val="0"/>
        </w:rPr>
        <w:t xml:space="preserve"> 一、项目基本情况</w:t>
      </w:r>
      <w:bookmarkEnd w:id="0"/>
    </w:p>
    <w:p w:rsidR="007E3568" w:rsidRDefault="007E3568" w:rsidP="007E3568">
      <w:pPr>
        <w:pStyle w:val="2"/>
        <w:spacing w:line="240" w:lineRule="auto"/>
        <w:ind w:firstLineChars="200" w:firstLine="640"/>
        <w:rPr>
          <w:rFonts w:ascii="楷体_GB2312" w:hAnsi="仿宋" w:hint="eastAsia"/>
          <w:b w:val="0"/>
        </w:rPr>
      </w:pPr>
      <w:bookmarkStart w:id="1" w:name="_Toc433124933"/>
      <w:r>
        <w:rPr>
          <w:rFonts w:ascii="楷体_GB2312" w:hAnsi="仿宋" w:hint="eastAsia"/>
          <w:b w:val="0"/>
        </w:rPr>
        <w:t>（一）项目概况</w:t>
      </w:r>
      <w:bookmarkEnd w:id="1"/>
    </w:p>
    <w:p w:rsidR="007E3568" w:rsidRDefault="007E3568" w:rsidP="007E3568">
      <w:pPr>
        <w:ind w:firstLineChars="200" w:firstLine="640"/>
        <w:rPr>
          <w:rFonts w:ascii="仿宋_GB2312" w:eastAsia="仿宋_GB2312" w:hAnsi="仿宋" w:hint="eastAsia"/>
          <w:sz w:val="32"/>
          <w:szCs w:val="32"/>
        </w:rPr>
      </w:pPr>
      <w:r>
        <w:rPr>
          <w:rFonts w:ascii="仿宋_GB2312" w:eastAsia="仿宋_GB2312" w:hAnsi="仿宋" w:hint="eastAsia"/>
          <w:sz w:val="32"/>
          <w:szCs w:val="32"/>
        </w:rPr>
        <w:t>为改变传统的加工贸易审批管理模式，适应加工贸易企业市场化运作的实际需要，经东莞市政府同意，2012年，东莞市依托海关、检验检疫、外经贸电子化审批的基础，大力整合行政资源，实现了外经贸、海关、检验检疫与企业“四方联网”。5月，为进一步改革加工贸易业务监管模式，促进加工贸易转型升级，东莞市政府与黄埔海关决定，在“四方联网”平台的基础上，建立东莞市加工贸易管理服务平台（以下简称“加贸平台”），构建“外经贸、海关、检验检疫、外汇、工商、国税、财政与企业”的“八方联网”。</w:t>
      </w:r>
    </w:p>
    <w:p w:rsidR="007E3568" w:rsidRDefault="007E3568" w:rsidP="007E3568">
      <w:pPr>
        <w:ind w:firstLineChars="200" w:firstLine="643"/>
        <w:rPr>
          <w:rFonts w:ascii="仿宋_GB2312" w:eastAsia="仿宋_GB2312" w:hAnsi="仿宋" w:hint="eastAsia"/>
          <w:sz w:val="32"/>
          <w:szCs w:val="32"/>
        </w:rPr>
      </w:pPr>
      <w:r>
        <w:rPr>
          <w:rFonts w:ascii="仿宋_GB2312" w:eastAsia="仿宋_GB2312" w:hAnsi="仿宋" w:hint="eastAsia"/>
          <w:b/>
          <w:sz w:val="32"/>
          <w:szCs w:val="32"/>
        </w:rPr>
        <w:t>然而，在</w:t>
      </w:r>
      <w:proofErr w:type="gramStart"/>
      <w:r>
        <w:rPr>
          <w:rFonts w:ascii="仿宋_GB2312" w:eastAsia="仿宋_GB2312" w:hAnsi="仿宋" w:hint="eastAsia"/>
          <w:b/>
          <w:sz w:val="32"/>
          <w:szCs w:val="32"/>
        </w:rPr>
        <w:t>构建加贸平台</w:t>
      </w:r>
      <w:proofErr w:type="gramEnd"/>
      <w:r>
        <w:rPr>
          <w:rFonts w:ascii="仿宋_GB2312" w:eastAsia="仿宋_GB2312" w:hAnsi="仿宋" w:hint="eastAsia"/>
          <w:b/>
          <w:sz w:val="32"/>
          <w:szCs w:val="32"/>
        </w:rPr>
        <w:t>的过程中，加工贸易管理政策出现重大调整。</w:t>
      </w:r>
      <w:r>
        <w:rPr>
          <w:rFonts w:ascii="仿宋_GB2312" w:eastAsia="仿宋_GB2312" w:hAnsi="仿宋" w:hint="eastAsia"/>
          <w:sz w:val="32"/>
          <w:szCs w:val="32"/>
        </w:rPr>
        <w:t>2012年12月，第十一届全国人民代表大会常务委员会第三十次会议决定：三年内在广东试行暂时停止实施从事加工贸易业务审批和加工贸易保税进口料件或者制</w:t>
      </w:r>
      <w:r>
        <w:rPr>
          <w:rFonts w:ascii="仿宋_GB2312" w:eastAsia="仿宋_GB2312" w:hAnsi="仿宋" w:hint="eastAsia"/>
          <w:sz w:val="32"/>
          <w:szCs w:val="32"/>
        </w:rPr>
        <w:lastRenderedPageBreak/>
        <w:t>成品转内销审批，通过海关、外经贸主管部门现有其他监管措施进行管理。为此，2013年6月28日，东莞市政府组织有关部门召开会议，明确要求外经贸部门和海关部门对平台的加工贸易合同业务管理流程做出相应调整，尽快确定</w:t>
      </w:r>
      <w:proofErr w:type="gramStart"/>
      <w:r>
        <w:rPr>
          <w:rFonts w:ascii="仿宋_GB2312" w:eastAsia="仿宋_GB2312" w:hAnsi="仿宋" w:hint="eastAsia"/>
          <w:sz w:val="32"/>
          <w:szCs w:val="32"/>
        </w:rPr>
        <w:t>加贸合同</w:t>
      </w:r>
      <w:proofErr w:type="gramEnd"/>
      <w:r>
        <w:rPr>
          <w:rFonts w:ascii="仿宋_GB2312" w:eastAsia="仿宋_GB2312" w:hAnsi="仿宋" w:hint="eastAsia"/>
          <w:sz w:val="32"/>
          <w:szCs w:val="32"/>
        </w:rPr>
        <w:t>业务的管理参数，并与7月3日前提交技术部门尽快开发相关软件模块，实现平台业务参数检控功能。</w:t>
      </w:r>
    </w:p>
    <w:p w:rsidR="007E3568" w:rsidRDefault="007E3568" w:rsidP="007E3568">
      <w:pPr>
        <w:ind w:firstLineChars="200" w:firstLine="640"/>
        <w:rPr>
          <w:rFonts w:ascii="仿宋_GB2312" w:eastAsia="仿宋_GB2312" w:hAnsi="仿宋" w:hint="eastAsia"/>
          <w:sz w:val="32"/>
          <w:szCs w:val="32"/>
        </w:rPr>
      </w:pPr>
      <w:r>
        <w:rPr>
          <w:rFonts w:ascii="仿宋_GB2312" w:eastAsia="仿宋_GB2312" w:hAnsi="仿宋" w:hint="eastAsia"/>
          <w:sz w:val="32"/>
          <w:szCs w:val="32"/>
        </w:rPr>
        <w:t>2013年7月3日，市电子政务办签订</w:t>
      </w:r>
      <w:proofErr w:type="gramStart"/>
      <w:r>
        <w:rPr>
          <w:rFonts w:ascii="仿宋_GB2312" w:eastAsia="仿宋_GB2312" w:hAnsi="仿宋" w:hint="eastAsia"/>
          <w:sz w:val="32"/>
          <w:szCs w:val="32"/>
        </w:rPr>
        <w:t>了加贸平台</w:t>
      </w:r>
      <w:proofErr w:type="gramEnd"/>
      <w:r>
        <w:rPr>
          <w:rFonts w:ascii="仿宋_GB2312" w:eastAsia="仿宋_GB2312" w:hAnsi="仿宋" w:hint="eastAsia"/>
          <w:sz w:val="32"/>
          <w:szCs w:val="32"/>
        </w:rPr>
        <w:t>硬件采购合同，并已采购所有配置的硬件。2013年7月28日，市外经贸局与深圳市关贸通科技有限公司（以下简称“关贸通公司”）签订</w:t>
      </w:r>
      <w:proofErr w:type="gramStart"/>
      <w:r>
        <w:rPr>
          <w:rFonts w:ascii="仿宋_GB2312" w:eastAsia="仿宋_GB2312" w:hAnsi="仿宋" w:hint="eastAsia"/>
          <w:sz w:val="32"/>
          <w:szCs w:val="32"/>
        </w:rPr>
        <w:t>了加贸平台</w:t>
      </w:r>
      <w:proofErr w:type="gramEnd"/>
      <w:r>
        <w:rPr>
          <w:rFonts w:ascii="仿宋_GB2312" w:eastAsia="仿宋_GB2312" w:hAnsi="仿宋" w:hint="eastAsia"/>
          <w:sz w:val="32"/>
          <w:szCs w:val="32"/>
        </w:rPr>
        <w:t>软件开发合同，建设周期为11个月，项目计划分三个阶段建设。2014年11月，</w:t>
      </w:r>
      <w:proofErr w:type="gramStart"/>
      <w:r>
        <w:rPr>
          <w:rFonts w:ascii="仿宋_GB2312" w:eastAsia="仿宋_GB2312" w:hAnsi="仿宋" w:hint="eastAsia"/>
          <w:sz w:val="32"/>
          <w:szCs w:val="32"/>
        </w:rPr>
        <w:t>加贸平台</w:t>
      </w:r>
      <w:proofErr w:type="gramEnd"/>
      <w:r>
        <w:rPr>
          <w:rFonts w:ascii="仿宋_GB2312" w:eastAsia="仿宋_GB2312" w:hAnsi="仿宋" w:hint="eastAsia"/>
          <w:sz w:val="32"/>
          <w:szCs w:val="32"/>
        </w:rPr>
        <w:t>领导小组会议通过第一、二阶段技术性验收情况，并签署了有关补充协议后，按合同条款向关贸通公司支付第一、二阶段建设工程款。</w:t>
      </w:r>
    </w:p>
    <w:p w:rsidR="007E3568" w:rsidRDefault="007E3568" w:rsidP="007E3568">
      <w:pPr>
        <w:ind w:firstLineChars="200" w:firstLine="640"/>
        <w:rPr>
          <w:rFonts w:ascii="仿宋_GB2312" w:eastAsia="仿宋_GB2312" w:hAnsi="仿宋" w:hint="eastAsia"/>
          <w:sz w:val="32"/>
          <w:szCs w:val="32"/>
        </w:rPr>
      </w:pPr>
      <w:r>
        <w:rPr>
          <w:rFonts w:ascii="仿宋_GB2312" w:eastAsia="仿宋_GB2312" w:hAnsi="仿宋" w:hint="eastAsia"/>
          <w:sz w:val="32"/>
          <w:szCs w:val="32"/>
        </w:rPr>
        <w:t>该项目</w:t>
      </w:r>
      <w:proofErr w:type="gramStart"/>
      <w:r>
        <w:rPr>
          <w:rFonts w:ascii="仿宋_GB2312" w:eastAsia="仿宋_GB2312" w:hAnsi="仿宋" w:hint="eastAsia"/>
          <w:sz w:val="32"/>
          <w:szCs w:val="32"/>
        </w:rPr>
        <w:t>设立加贸平台</w:t>
      </w:r>
      <w:proofErr w:type="gramEnd"/>
      <w:r>
        <w:rPr>
          <w:rFonts w:ascii="仿宋_GB2312" w:eastAsia="仿宋_GB2312" w:hAnsi="仿宋" w:hint="eastAsia"/>
          <w:sz w:val="32"/>
          <w:szCs w:val="32"/>
        </w:rPr>
        <w:t>建设工作领导小组和工作小组。领导小组由市政府牵头，成员由平台各成员单位相关负责人组成。工作小组由市府办牵头，平台成员单位派员组成，主要任务是落实领导小组决定的事项，负责平台建设具体工作的实施。其中，硬件部分主要由市电子政务办负责并签订合同；软件开发部分主要由市外经贸局负责并与关贸通公司签订合同。</w:t>
      </w:r>
    </w:p>
    <w:p w:rsidR="007E3568" w:rsidRDefault="007E3568" w:rsidP="007E3568">
      <w:pPr>
        <w:pStyle w:val="2"/>
        <w:spacing w:line="240" w:lineRule="auto"/>
        <w:ind w:firstLineChars="200" w:firstLine="640"/>
        <w:rPr>
          <w:rFonts w:ascii="楷体_GB2312" w:hAnsi="仿宋" w:hint="eastAsia"/>
          <w:b w:val="0"/>
        </w:rPr>
      </w:pPr>
      <w:bookmarkStart w:id="2" w:name="_Toc433124934"/>
      <w:r>
        <w:rPr>
          <w:rFonts w:ascii="楷体_GB2312" w:hAnsi="仿宋" w:hint="eastAsia"/>
          <w:b w:val="0"/>
        </w:rPr>
        <w:lastRenderedPageBreak/>
        <w:t>（二）项目预期绩效目标设定情况</w:t>
      </w:r>
      <w:bookmarkEnd w:id="2"/>
    </w:p>
    <w:p w:rsidR="007E3568" w:rsidRDefault="007E3568" w:rsidP="007E3568">
      <w:pPr>
        <w:ind w:firstLineChars="200" w:firstLine="640"/>
        <w:rPr>
          <w:rFonts w:ascii="仿宋_GB2312" w:eastAsia="仿宋_GB2312" w:hAnsi="仿宋" w:hint="eastAsia"/>
          <w:sz w:val="32"/>
          <w:szCs w:val="32"/>
        </w:rPr>
      </w:pPr>
      <w:proofErr w:type="gramStart"/>
      <w:r>
        <w:rPr>
          <w:rFonts w:ascii="仿宋_GB2312" w:eastAsia="仿宋_GB2312" w:hAnsi="仿宋" w:hint="eastAsia"/>
          <w:sz w:val="32"/>
          <w:szCs w:val="32"/>
        </w:rPr>
        <w:t>加贸平台</w:t>
      </w:r>
      <w:proofErr w:type="gramEnd"/>
      <w:r>
        <w:rPr>
          <w:rFonts w:ascii="仿宋_GB2312" w:eastAsia="仿宋_GB2312" w:hAnsi="仿宋" w:hint="eastAsia"/>
          <w:sz w:val="32"/>
          <w:szCs w:val="32"/>
        </w:rPr>
        <w:t>建设目标主要是构建面向东莞地区外贸企业的区域性电子政务信息公共平台，在同一平台上，实现外经贸部门、属地海关、外贸主管部门等单位同一执法系统，同一执法标准；在同一平台上，完成东莞外贸企业一站</w:t>
      </w:r>
      <w:proofErr w:type="gramStart"/>
      <w:r>
        <w:rPr>
          <w:rFonts w:ascii="仿宋_GB2312" w:eastAsia="仿宋_GB2312" w:hAnsi="仿宋" w:hint="eastAsia"/>
          <w:sz w:val="32"/>
          <w:szCs w:val="32"/>
        </w:rPr>
        <w:t>式业务</w:t>
      </w:r>
      <w:proofErr w:type="gramEnd"/>
      <w:r>
        <w:rPr>
          <w:rFonts w:ascii="仿宋_GB2312" w:eastAsia="仿宋_GB2312" w:hAnsi="仿宋" w:hint="eastAsia"/>
          <w:sz w:val="32"/>
          <w:szCs w:val="32"/>
        </w:rPr>
        <w:t>办理和一站</w:t>
      </w:r>
      <w:proofErr w:type="gramStart"/>
      <w:r>
        <w:rPr>
          <w:rFonts w:ascii="仿宋_GB2312" w:eastAsia="仿宋_GB2312" w:hAnsi="仿宋" w:hint="eastAsia"/>
          <w:sz w:val="32"/>
          <w:szCs w:val="32"/>
        </w:rPr>
        <w:t>式政府</w:t>
      </w:r>
      <w:proofErr w:type="gramEnd"/>
      <w:r>
        <w:rPr>
          <w:rFonts w:ascii="仿宋_GB2312" w:eastAsia="仿宋_GB2312" w:hAnsi="仿宋" w:hint="eastAsia"/>
          <w:sz w:val="32"/>
          <w:szCs w:val="32"/>
        </w:rPr>
        <w:t>审批；在同一平台上，实现企业和企业之间，企业和政府执法监管部门之间，以及政府有关部门之间的电子信息交换。具体预期绩效目标为： 1、实现一站申报，极大提升服务效能。2、数据共享共管，贯通部门管理链条。3、整</w:t>
      </w:r>
      <w:proofErr w:type="gramStart"/>
      <w:r>
        <w:rPr>
          <w:rFonts w:ascii="仿宋_GB2312" w:eastAsia="仿宋_GB2312" w:hAnsi="仿宋" w:hint="eastAsia"/>
          <w:sz w:val="32"/>
          <w:szCs w:val="32"/>
        </w:rPr>
        <w:t>合资信</w:t>
      </w:r>
      <w:proofErr w:type="gramEnd"/>
      <w:r>
        <w:rPr>
          <w:rFonts w:ascii="仿宋_GB2312" w:eastAsia="仿宋_GB2312" w:hAnsi="仿宋" w:hint="eastAsia"/>
          <w:sz w:val="32"/>
          <w:szCs w:val="32"/>
        </w:rPr>
        <w:t>评价，探索诚信体系建设。4、创新管理模式，实现在高效线服务。</w:t>
      </w:r>
    </w:p>
    <w:p w:rsidR="007E3568" w:rsidRDefault="007E3568" w:rsidP="007E3568">
      <w:pPr>
        <w:pStyle w:val="2"/>
        <w:spacing w:line="240" w:lineRule="auto"/>
        <w:ind w:firstLineChars="200" w:firstLine="640"/>
        <w:rPr>
          <w:rFonts w:ascii="楷体_GB2312" w:hAnsi="仿宋" w:hint="eastAsia"/>
          <w:b w:val="0"/>
        </w:rPr>
      </w:pPr>
      <w:bookmarkStart w:id="3" w:name="_Toc433124935"/>
      <w:r>
        <w:rPr>
          <w:rFonts w:ascii="楷体_GB2312" w:hAnsi="仿宋" w:hint="eastAsia"/>
          <w:b w:val="0"/>
        </w:rPr>
        <w:t>（三）资金使用情况</w:t>
      </w:r>
      <w:bookmarkEnd w:id="3"/>
    </w:p>
    <w:p w:rsidR="007E3568" w:rsidRDefault="007E3568" w:rsidP="007E3568">
      <w:pPr>
        <w:pStyle w:val="a4"/>
        <w:spacing w:line="240" w:lineRule="auto"/>
        <w:ind w:firstLine="640"/>
        <w:jc w:val="both"/>
        <w:rPr>
          <w:rFonts w:ascii="仿宋_GB2312" w:eastAsia="仿宋_GB2312" w:hAnsi="仿宋" w:hint="eastAsia"/>
          <w:sz w:val="32"/>
          <w:szCs w:val="32"/>
        </w:rPr>
      </w:pPr>
      <w:r>
        <w:rPr>
          <w:rFonts w:ascii="仿宋_GB2312" w:eastAsia="仿宋_GB2312" w:hAnsi="仿宋" w:hint="eastAsia"/>
          <w:sz w:val="32"/>
          <w:szCs w:val="32"/>
        </w:rPr>
        <w:t>根据《关于建设“东莞市加工贸易管理服务平台”问题的复函》（东府办复〔2012〕306号），东莞市政府同意市财政预算安排3645万元用于建设该平台。其中：硬件建设费用1,007万元；软件开发费用2,638万元。截至2015年4月，东莞市加工贸易管理服务平台项目</w:t>
      </w:r>
      <w:r>
        <w:rPr>
          <w:rFonts w:ascii="仿宋_GB2312" w:eastAsia="仿宋_GB2312" w:hAnsi="仿宋" w:hint="eastAsia"/>
          <w:b/>
          <w:sz w:val="32"/>
          <w:szCs w:val="32"/>
        </w:rPr>
        <w:t>实际使用资金2,367.25万元</w:t>
      </w:r>
      <w:r>
        <w:rPr>
          <w:rFonts w:ascii="仿宋_GB2312" w:eastAsia="仿宋_GB2312" w:hAnsi="仿宋" w:hint="eastAsia"/>
          <w:sz w:val="32"/>
          <w:szCs w:val="32"/>
        </w:rPr>
        <w:t>。其中：1、直接支付第一期及第二期软件款项</w:t>
      </w:r>
      <w:r>
        <w:rPr>
          <w:rFonts w:ascii="仿宋_GB2312" w:eastAsia="仿宋_GB2312" w:hAnsi="仿宋" w:hint="eastAsia"/>
          <w:b/>
          <w:sz w:val="32"/>
          <w:szCs w:val="32"/>
        </w:rPr>
        <w:t>1,502.49万元</w:t>
      </w:r>
      <w:r>
        <w:rPr>
          <w:rFonts w:ascii="仿宋_GB2312" w:eastAsia="仿宋_GB2312" w:hAnsi="仿宋" w:hint="eastAsia"/>
          <w:sz w:val="32"/>
          <w:szCs w:val="32"/>
        </w:rPr>
        <w:t>。2、硬件建设项目资金</w:t>
      </w:r>
      <w:r>
        <w:rPr>
          <w:rFonts w:ascii="仿宋_GB2312" w:eastAsia="仿宋_GB2312" w:hAnsi="仿宋" w:hint="eastAsia"/>
          <w:b/>
          <w:sz w:val="32"/>
          <w:szCs w:val="32"/>
        </w:rPr>
        <w:t>864.76万元</w:t>
      </w:r>
      <w:r>
        <w:rPr>
          <w:rFonts w:ascii="仿宋_GB2312" w:eastAsia="仿宋_GB2312" w:hAnsi="仿宋" w:hint="eastAsia"/>
          <w:sz w:val="32"/>
          <w:szCs w:val="32"/>
        </w:rPr>
        <w:t>。</w:t>
      </w:r>
    </w:p>
    <w:p w:rsidR="007E3568" w:rsidRDefault="007E3568" w:rsidP="007E3568">
      <w:pPr>
        <w:pStyle w:val="a3"/>
        <w:spacing w:line="240" w:lineRule="auto"/>
        <w:ind w:firstLineChars="200" w:firstLine="640"/>
        <w:jc w:val="both"/>
        <w:rPr>
          <w:rFonts w:ascii="黑体" w:eastAsia="黑体" w:hAnsi="黑体" w:hint="eastAsia"/>
          <w:b w:val="0"/>
        </w:rPr>
      </w:pPr>
      <w:bookmarkStart w:id="4" w:name="_Toc433124936"/>
      <w:r>
        <w:rPr>
          <w:rFonts w:ascii="黑体" w:eastAsia="黑体" w:hAnsi="黑体" w:hint="eastAsia"/>
          <w:b w:val="0"/>
        </w:rPr>
        <w:t>二、绩效评价结果</w:t>
      </w:r>
      <w:bookmarkEnd w:id="4"/>
    </w:p>
    <w:p w:rsidR="007E3568" w:rsidRDefault="007E3568" w:rsidP="007E3568">
      <w:pPr>
        <w:pStyle w:val="2"/>
        <w:spacing w:line="240" w:lineRule="auto"/>
        <w:ind w:firstLineChars="200" w:firstLine="640"/>
        <w:rPr>
          <w:rFonts w:ascii="楷体_GB2312" w:hAnsi="仿宋" w:hint="eastAsia"/>
          <w:b w:val="0"/>
        </w:rPr>
      </w:pPr>
      <w:bookmarkStart w:id="5" w:name="_Toc433124937"/>
      <w:r>
        <w:rPr>
          <w:rFonts w:ascii="楷体_GB2312" w:hAnsi="仿宋" w:hint="eastAsia"/>
          <w:b w:val="0"/>
        </w:rPr>
        <w:t>（一）评价结论</w:t>
      </w:r>
      <w:bookmarkEnd w:id="5"/>
    </w:p>
    <w:p w:rsidR="007E3568" w:rsidRDefault="007E3568" w:rsidP="007E3568">
      <w:pPr>
        <w:ind w:firstLineChars="200" w:firstLine="640"/>
        <w:rPr>
          <w:rFonts w:ascii="仿宋_GB2312" w:eastAsia="仿宋_GB2312" w:hAnsi="仿宋" w:hint="eastAsia"/>
          <w:sz w:val="32"/>
          <w:szCs w:val="32"/>
        </w:rPr>
      </w:pPr>
      <w:r>
        <w:rPr>
          <w:rFonts w:ascii="仿宋_GB2312" w:eastAsia="仿宋_GB2312" w:hAnsi="仿宋" w:hint="eastAsia"/>
          <w:sz w:val="32"/>
          <w:szCs w:val="32"/>
        </w:rPr>
        <w:t>专家组综合评价结论认为，该项目绩效得分为70分，</w:t>
      </w:r>
      <w:r>
        <w:rPr>
          <w:rFonts w:ascii="仿宋_GB2312" w:eastAsia="仿宋_GB2312" w:hAnsi="仿宋" w:hint="eastAsia"/>
          <w:sz w:val="32"/>
          <w:szCs w:val="32"/>
        </w:rPr>
        <w:lastRenderedPageBreak/>
        <w:t>绩效等级为中。总的来说，该项目作为东莞建设全国加工贸易转型升级示范城市的主要措施之一，在优化审批流程、实现部门共管、信息共享和诚信建设等方面取得一些突破成效和创新成果，得到了上级部门及领导的肯定，但在实施过程中因国家加工贸易政策的调整变化，导致了该项目实际产出效果不是十分理想。</w:t>
      </w:r>
    </w:p>
    <w:p w:rsidR="007E3568" w:rsidRDefault="007E3568" w:rsidP="007E3568">
      <w:pPr>
        <w:pStyle w:val="2"/>
        <w:spacing w:line="240" w:lineRule="auto"/>
        <w:ind w:firstLineChars="200" w:firstLine="640"/>
        <w:rPr>
          <w:rFonts w:ascii="楷体_GB2312" w:hAnsi="黑体" w:hint="eastAsia"/>
          <w:b w:val="0"/>
        </w:rPr>
      </w:pPr>
      <w:bookmarkStart w:id="6" w:name="_Toc433124938"/>
      <w:r>
        <w:rPr>
          <w:rFonts w:ascii="楷体_GB2312" w:hAnsi="黑体" w:hint="eastAsia"/>
          <w:b w:val="0"/>
        </w:rPr>
        <w:t>（二）主要目标完成情况</w:t>
      </w:r>
      <w:bookmarkEnd w:id="6"/>
    </w:p>
    <w:p w:rsidR="007E3568" w:rsidRDefault="007E3568" w:rsidP="007E3568">
      <w:pPr>
        <w:pStyle w:val="30"/>
        <w:ind w:firstLineChars="200" w:firstLine="640"/>
        <w:rPr>
          <w:rFonts w:hAnsi="仿宋" w:hint="eastAsia"/>
          <w:b w:val="0"/>
          <w:sz w:val="32"/>
          <w:szCs w:val="32"/>
        </w:rPr>
      </w:pPr>
      <w:bookmarkStart w:id="7" w:name="_Toc433124939"/>
      <w:r>
        <w:rPr>
          <w:rFonts w:hAnsi="仿宋" w:hint="eastAsia"/>
          <w:b w:val="0"/>
          <w:sz w:val="32"/>
          <w:szCs w:val="32"/>
        </w:rPr>
        <w:t>1、产出目标</w:t>
      </w:r>
      <w:bookmarkEnd w:id="7"/>
    </w:p>
    <w:p w:rsidR="007E3568" w:rsidRDefault="007E3568" w:rsidP="007E3568">
      <w:pPr>
        <w:ind w:firstLineChars="200" w:firstLine="640"/>
        <w:rPr>
          <w:rFonts w:ascii="仿宋_GB2312" w:eastAsia="仿宋_GB2312" w:hAnsi="仿宋" w:hint="eastAsia"/>
          <w:sz w:val="32"/>
          <w:szCs w:val="32"/>
        </w:rPr>
      </w:pPr>
      <w:r>
        <w:rPr>
          <w:rFonts w:ascii="仿宋_GB2312" w:eastAsia="仿宋_GB2312" w:hAnsi="仿宋" w:hint="eastAsia"/>
          <w:sz w:val="32"/>
          <w:szCs w:val="32"/>
        </w:rPr>
        <w:t>该项目预期产出目标大部分完成</w:t>
      </w:r>
    </w:p>
    <w:p w:rsidR="007E3568" w:rsidRDefault="007E3568" w:rsidP="007E3568">
      <w:pPr>
        <w:ind w:firstLineChars="200" w:firstLine="640"/>
        <w:rPr>
          <w:rFonts w:ascii="仿宋_GB2312" w:eastAsia="仿宋_GB2312" w:hAnsi="仿宋" w:hint="eastAsia"/>
          <w:sz w:val="32"/>
          <w:szCs w:val="32"/>
        </w:rPr>
      </w:pPr>
      <w:r>
        <w:rPr>
          <w:rFonts w:ascii="仿宋_GB2312" w:eastAsia="仿宋_GB2312" w:hAnsi="仿宋" w:hint="eastAsia"/>
          <w:sz w:val="32"/>
          <w:szCs w:val="32"/>
        </w:rPr>
        <w:t>为了早日实现“八方联网”，在部、省两级的加工贸易审批制度改革实施办法未正式出台，业务功能、技术方法未明确，而东莞作为加工贸易转型升级试点城市的大环境下，市商务局等单位先行先试，在创新加工贸易管理服务机制方面做了大量的工作，在平台建设期间，不断协商部门间业务功能和技术方法的设置，反复调整业务需求，修改应用程序，最后顺利完成</w:t>
      </w:r>
      <w:proofErr w:type="gramStart"/>
      <w:r>
        <w:rPr>
          <w:rFonts w:ascii="仿宋_GB2312" w:eastAsia="仿宋_GB2312" w:hAnsi="仿宋" w:hint="eastAsia"/>
          <w:sz w:val="32"/>
          <w:szCs w:val="32"/>
        </w:rPr>
        <w:t>了加贸平台</w:t>
      </w:r>
      <w:proofErr w:type="gramEnd"/>
      <w:r>
        <w:rPr>
          <w:rFonts w:ascii="仿宋_GB2312" w:eastAsia="仿宋_GB2312" w:hAnsi="仿宋" w:hint="eastAsia"/>
          <w:sz w:val="32"/>
          <w:szCs w:val="32"/>
        </w:rPr>
        <w:t>的第一、第二阶段技术性验收工作。但是，由于国家政策的调整等原因，</w:t>
      </w:r>
      <w:proofErr w:type="gramStart"/>
      <w:r>
        <w:rPr>
          <w:rFonts w:ascii="仿宋_GB2312" w:eastAsia="仿宋_GB2312" w:hAnsi="仿宋" w:hint="eastAsia"/>
          <w:sz w:val="32"/>
          <w:szCs w:val="32"/>
        </w:rPr>
        <w:t>加贸平台</w:t>
      </w:r>
      <w:proofErr w:type="gramEnd"/>
      <w:r>
        <w:rPr>
          <w:rFonts w:ascii="仿宋_GB2312" w:eastAsia="仿宋_GB2312" w:hAnsi="仿宋" w:hint="eastAsia"/>
          <w:sz w:val="32"/>
          <w:szCs w:val="32"/>
        </w:rPr>
        <w:t>并没有按照计划全部完成产出任务。</w:t>
      </w:r>
    </w:p>
    <w:p w:rsidR="007E3568" w:rsidRDefault="007E3568" w:rsidP="007E3568">
      <w:pPr>
        <w:ind w:firstLineChars="200" w:firstLine="643"/>
        <w:rPr>
          <w:rFonts w:ascii="仿宋_GB2312" w:eastAsia="仿宋_GB2312" w:hAnsi="仿宋" w:hint="eastAsia"/>
          <w:sz w:val="32"/>
          <w:szCs w:val="32"/>
        </w:rPr>
      </w:pPr>
      <w:r>
        <w:rPr>
          <w:rFonts w:ascii="仿宋_GB2312" w:eastAsia="仿宋_GB2312" w:hAnsi="仿宋" w:hint="eastAsia"/>
          <w:b/>
          <w:sz w:val="32"/>
          <w:szCs w:val="32"/>
        </w:rPr>
        <w:t>实际完成率方面：</w:t>
      </w:r>
      <w:r>
        <w:rPr>
          <w:rFonts w:ascii="仿宋_GB2312" w:eastAsia="仿宋_GB2312" w:hAnsi="仿宋" w:hint="eastAsia"/>
          <w:sz w:val="32"/>
          <w:szCs w:val="32"/>
        </w:rPr>
        <w:t>对照软件开发合同中所列表的36个子系统模块，截止报告提交日为止，未见“外经贸资信管理系统”、“外经贸企业动态管理系统”等9个子系统模块的有效应用，占比25%。对于已开发完成的各种管理子系统，则</w:t>
      </w:r>
      <w:r>
        <w:rPr>
          <w:rFonts w:ascii="仿宋_GB2312" w:eastAsia="仿宋_GB2312" w:hAnsi="仿宋" w:hint="eastAsia"/>
          <w:sz w:val="32"/>
          <w:szCs w:val="32"/>
        </w:rPr>
        <w:lastRenderedPageBreak/>
        <w:t>存在业务功能比较简单，实际使用需求不多的情况。</w:t>
      </w:r>
    </w:p>
    <w:p w:rsidR="007E3568" w:rsidRDefault="007E3568" w:rsidP="007E3568">
      <w:pPr>
        <w:ind w:firstLineChars="200" w:firstLine="643"/>
        <w:rPr>
          <w:rFonts w:ascii="仿宋_GB2312" w:eastAsia="仿宋_GB2312" w:hAnsi="仿宋" w:hint="eastAsia"/>
          <w:sz w:val="32"/>
          <w:szCs w:val="32"/>
        </w:rPr>
      </w:pPr>
      <w:r>
        <w:rPr>
          <w:rFonts w:ascii="仿宋_GB2312" w:eastAsia="仿宋_GB2312" w:hAnsi="仿宋" w:hint="eastAsia"/>
          <w:b/>
          <w:sz w:val="32"/>
          <w:szCs w:val="32"/>
        </w:rPr>
        <w:t>完成及时率方面：</w:t>
      </w:r>
      <w:r>
        <w:rPr>
          <w:rFonts w:ascii="仿宋_GB2312" w:eastAsia="仿宋_GB2312" w:hAnsi="仿宋" w:hint="eastAsia"/>
          <w:sz w:val="32"/>
          <w:szCs w:val="32"/>
        </w:rPr>
        <w:t>根据软件开发合同，软件项目建设周期为11个月，即从2013年7月28日至2014年6月27日。但评价发现，截至2014年8月25日完成的“技术验收”来看，仅验收了项目合同中第一、第二阶段的共计27个子系统模块。相对于合同中三个阶段共36个子系统模块的建设内容而言，该项目未能严格按计划时间完成全部合同内容。</w:t>
      </w:r>
    </w:p>
    <w:p w:rsidR="007E3568" w:rsidRDefault="007E3568" w:rsidP="007E3568">
      <w:pPr>
        <w:ind w:firstLineChars="200" w:firstLine="643"/>
        <w:rPr>
          <w:rFonts w:ascii="仿宋_GB2312" w:eastAsia="仿宋_GB2312" w:hAnsi="仿宋" w:hint="eastAsia"/>
          <w:sz w:val="32"/>
          <w:szCs w:val="32"/>
        </w:rPr>
      </w:pPr>
      <w:r>
        <w:rPr>
          <w:rFonts w:ascii="仿宋_GB2312" w:eastAsia="仿宋_GB2312" w:hAnsi="仿宋" w:hint="eastAsia"/>
          <w:b/>
          <w:sz w:val="32"/>
          <w:szCs w:val="32"/>
        </w:rPr>
        <w:t>预算控制方面：</w:t>
      </w:r>
      <w:r>
        <w:rPr>
          <w:rFonts w:ascii="仿宋_GB2312" w:eastAsia="仿宋_GB2312" w:hAnsi="仿宋" w:hint="eastAsia"/>
          <w:sz w:val="32"/>
          <w:szCs w:val="32"/>
        </w:rPr>
        <w:t>该项目预算安排3,645万元，实际支出为2,367.25万元，预算执行率为64.95%。该项目对于财政资金成本控制情况较好，未出现超预算使用等情况。</w:t>
      </w:r>
    </w:p>
    <w:p w:rsidR="007E3568" w:rsidRDefault="007E3568" w:rsidP="007E3568">
      <w:pPr>
        <w:pStyle w:val="30"/>
        <w:rPr>
          <w:rFonts w:hAnsi="仿宋" w:hint="eastAsia"/>
          <w:b w:val="0"/>
          <w:sz w:val="32"/>
          <w:szCs w:val="32"/>
        </w:rPr>
      </w:pPr>
      <w:bookmarkStart w:id="8" w:name="_Toc433124940"/>
      <w:r>
        <w:rPr>
          <w:rFonts w:hAnsi="仿宋" w:hint="eastAsia"/>
          <w:b w:val="0"/>
          <w:sz w:val="32"/>
          <w:szCs w:val="32"/>
        </w:rPr>
        <w:t>2、效果目标完成情况</w:t>
      </w:r>
      <w:bookmarkEnd w:id="8"/>
    </w:p>
    <w:p w:rsidR="007E3568" w:rsidRDefault="007E3568" w:rsidP="007E3568">
      <w:pPr>
        <w:ind w:firstLineChars="200" w:firstLine="643"/>
        <w:rPr>
          <w:rFonts w:ascii="仿宋_GB2312" w:eastAsia="仿宋_GB2312" w:hAnsi="仿宋" w:hint="eastAsia"/>
          <w:b/>
          <w:sz w:val="32"/>
          <w:szCs w:val="32"/>
        </w:rPr>
      </w:pPr>
      <w:r>
        <w:rPr>
          <w:rFonts w:ascii="仿宋_GB2312" w:eastAsia="仿宋_GB2312" w:hAnsi="仿宋" w:hint="eastAsia"/>
          <w:b/>
          <w:sz w:val="32"/>
          <w:szCs w:val="32"/>
        </w:rPr>
        <w:t>该项目部分实现了预期效果</w:t>
      </w:r>
    </w:p>
    <w:p w:rsidR="007E3568" w:rsidRDefault="007E3568" w:rsidP="007E3568">
      <w:pPr>
        <w:ind w:firstLineChars="200" w:firstLine="640"/>
        <w:rPr>
          <w:rFonts w:ascii="仿宋_GB2312" w:eastAsia="仿宋_GB2312" w:hAnsi="仿宋" w:hint="eastAsia"/>
          <w:sz w:val="32"/>
          <w:szCs w:val="32"/>
        </w:rPr>
      </w:pPr>
      <w:r>
        <w:rPr>
          <w:rFonts w:ascii="仿宋_GB2312" w:eastAsia="仿宋_GB2312" w:hAnsi="仿宋" w:hint="eastAsia"/>
          <w:sz w:val="32"/>
          <w:szCs w:val="32"/>
        </w:rPr>
        <w:t>各级外经贸和海关部门对人大常委会和国务院出台的加工贸易调整政策高度重视，商务部多次到广东省和东莞市开展调研工作，充分肯定了东莞市“四方联网”的工作成效，对东莞市加强了政策和业务的指导，并积极组织研究新形势下的加工贸易管理模式。时任中共中央政治局委员、广东省委书记汪洋在出席东莞加工贸易管理服务平台上线仪式发表讲话，认为：“四方联动走出了</w:t>
      </w:r>
      <w:proofErr w:type="gramStart"/>
      <w:r>
        <w:rPr>
          <w:rFonts w:ascii="仿宋_GB2312" w:eastAsia="仿宋_GB2312" w:hAnsi="仿宋" w:hint="eastAsia"/>
          <w:sz w:val="32"/>
          <w:szCs w:val="32"/>
        </w:rPr>
        <w:t>一</w:t>
      </w:r>
      <w:proofErr w:type="gramEnd"/>
      <w:r>
        <w:rPr>
          <w:rFonts w:ascii="仿宋_GB2312" w:eastAsia="仿宋_GB2312" w:hAnsi="仿宋" w:hint="eastAsia"/>
          <w:sz w:val="32"/>
          <w:szCs w:val="32"/>
        </w:rPr>
        <w:t>小步，带动政府管理体制改革迈出一大步”。“八方联网”是在“四方联网”的基础上，将“财政”、“外汇”、“国税”、“工商”等部门也纳入其中，其目的是以加工贸易平台为载体，以信息化管理为抓手，</w:t>
      </w:r>
      <w:r>
        <w:rPr>
          <w:rFonts w:ascii="仿宋_GB2312" w:eastAsia="仿宋_GB2312" w:hAnsi="仿宋" w:hint="eastAsia"/>
          <w:sz w:val="32"/>
          <w:szCs w:val="32"/>
        </w:rPr>
        <w:lastRenderedPageBreak/>
        <w:t>实现部门间业务共管，数据共享，预期效果是值得肯定的。然而，由于国家政策的调整等原因，</w:t>
      </w:r>
      <w:proofErr w:type="gramStart"/>
      <w:r>
        <w:rPr>
          <w:rFonts w:ascii="仿宋_GB2312" w:eastAsia="仿宋_GB2312" w:hAnsi="仿宋" w:hint="eastAsia"/>
          <w:sz w:val="32"/>
          <w:szCs w:val="32"/>
        </w:rPr>
        <w:t>加贸平台</w:t>
      </w:r>
      <w:proofErr w:type="gramEnd"/>
      <w:r>
        <w:rPr>
          <w:rFonts w:ascii="仿宋_GB2312" w:eastAsia="仿宋_GB2312" w:hAnsi="仿宋" w:hint="eastAsia"/>
          <w:sz w:val="32"/>
          <w:szCs w:val="32"/>
        </w:rPr>
        <w:t>目前只实现了部分预期效果。</w:t>
      </w:r>
    </w:p>
    <w:p w:rsidR="007E3568" w:rsidRDefault="007E3568" w:rsidP="007E3568">
      <w:pPr>
        <w:ind w:firstLineChars="200" w:firstLine="640"/>
        <w:rPr>
          <w:rFonts w:ascii="仿宋_GB2312" w:eastAsia="仿宋_GB2312" w:hAnsi="仿宋" w:hint="eastAsia"/>
          <w:sz w:val="32"/>
          <w:szCs w:val="32"/>
        </w:rPr>
      </w:pPr>
      <w:r>
        <w:rPr>
          <w:rFonts w:ascii="仿宋_GB2312" w:eastAsia="仿宋_GB2312" w:hAnsi="仿宋" w:hint="eastAsia"/>
          <w:sz w:val="32"/>
          <w:szCs w:val="32"/>
        </w:rPr>
        <w:t>（1）所预期“一站式服务”绩效目标部分达到</w:t>
      </w:r>
    </w:p>
    <w:p w:rsidR="007E3568" w:rsidRDefault="007E3568" w:rsidP="007E3568">
      <w:pPr>
        <w:ind w:firstLineChars="200" w:firstLine="640"/>
        <w:rPr>
          <w:rFonts w:ascii="仿宋_GB2312" w:eastAsia="仿宋_GB2312" w:hAnsi="仿宋" w:hint="eastAsia"/>
          <w:sz w:val="32"/>
          <w:szCs w:val="32"/>
        </w:rPr>
      </w:pPr>
      <w:r>
        <w:rPr>
          <w:rFonts w:ascii="仿宋_GB2312" w:eastAsia="仿宋_GB2312" w:hAnsi="仿宋" w:hint="eastAsia"/>
          <w:sz w:val="32"/>
          <w:szCs w:val="32"/>
        </w:rPr>
        <w:t>该项目在一站式政务管理和部门联动管理等方面提出的信息化管理理念有一定的示范效应,对东莞市后期启动“单一窗口”和“三互建设”等政务平台系统的建设有一定的启示和带动作用。但是，该项目所预期的“一站式服务”绩效目标未能完全实现。</w:t>
      </w:r>
    </w:p>
    <w:p w:rsidR="007E3568" w:rsidRDefault="007E3568" w:rsidP="007E3568">
      <w:pPr>
        <w:ind w:firstLineChars="200" w:firstLine="640"/>
        <w:rPr>
          <w:rFonts w:ascii="仿宋_GB2312" w:eastAsia="仿宋_GB2312" w:hAnsi="仿宋" w:hint="eastAsia"/>
          <w:sz w:val="32"/>
          <w:szCs w:val="32"/>
        </w:rPr>
      </w:pPr>
      <w:r>
        <w:rPr>
          <w:rFonts w:ascii="仿宋_GB2312" w:eastAsia="仿宋_GB2312" w:hAnsi="仿宋" w:hint="eastAsia"/>
          <w:sz w:val="32"/>
          <w:szCs w:val="32"/>
        </w:rPr>
        <w:t>首先，平台业务功能未能按合同规定时间完成。对于电子化手册平台申报功能，截止2014年11月仍在业务测试阶段，企业无法通过平台正式办理海关业务；同时，平台到海关的部分数据传输故障仍未解决。</w:t>
      </w:r>
    </w:p>
    <w:p w:rsidR="007E3568" w:rsidRDefault="007E3568" w:rsidP="007E3568">
      <w:pPr>
        <w:ind w:firstLineChars="200" w:firstLine="640"/>
        <w:rPr>
          <w:rFonts w:ascii="仿宋_GB2312" w:eastAsia="仿宋_GB2312" w:hAnsi="仿宋" w:hint="eastAsia"/>
          <w:sz w:val="32"/>
          <w:szCs w:val="32"/>
        </w:rPr>
      </w:pPr>
      <w:r>
        <w:rPr>
          <w:rFonts w:ascii="仿宋_GB2312" w:eastAsia="仿宋_GB2312" w:hAnsi="仿宋" w:hint="eastAsia"/>
          <w:sz w:val="32"/>
          <w:szCs w:val="32"/>
        </w:rPr>
        <w:t>其次，对于企业申报电子化手册业务，目前海关QP系统</w:t>
      </w:r>
      <w:proofErr w:type="gramStart"/>
      <w:r>
        <w:rPr>
          <w:rFonts w:ascii="仿宋_GB2312" w:eastAsia="仿宋_GB2312" w:hAnsi="仿宋" w:hint="eastAsia"/>
          <w:sz w:val="32"/>
          <w:szCs w:val="32"/>
        </w:rPr>
        <w:t>和加贸平台</w:t>
      </w:r>
      <w:proofErr w:type="gramEnd"/>
      <w:r>
        <w:rPr>
          <w:rFonts w:ascii="仿宋_GB2312" w:eastAsia="仿宋_GB2312" w:hAnsi="仿宋" w:hint="eastAsia"/>
          <w:sz w:val="32"/>
          <w:szCs w:val="32"/>
        </w:rPr>
        <w:t>均能处理，但大部分企业仍选择在海关办理。因此，该平台预期的对于企业用户的“一站式服务”未能得到很好的实现。</w:t>
      </w:r>
    </w:p>
    <w:p w:rsidR="007E3568" w:rsidRDefault="007E3568" w:rsidP="007E3568">
      <w:pPr>
        <w:ind w:firstLineChars="200" w:firstLine="640"/>
        <w:rPr>
          <w:rFonts w:ascii="仿宋_GB2312" w:eastAsia="仿宋_GB2312" w:hAnsi="仿宋" w:hint="eastAsia"/>
          <w:sz w:val="32"/>
          <w:szCs w:val="32"/>
        </w:rPr>
      </w:pPr>
      <w:r>
        <w:rPr>
          <w:rFonts w:ascii="仿宋_GB2312" w:eastAsia="仿宋_GB2312" w:hAnsi="仿宋" w:hint="eastAsia"/>
          <w:sz w:val="32"/>
          <w:szCs w:val="32"/>
        </w:rPr>
        <w:t>再次，在加工贸易手册</w:t>
      </w:r>
      <w:proofErr w:type="gramStart"/>
      <w:r>
        <w:rPr>
          <w:rFonts w:ascii="仿宋_GB2312" w:eastAsia="仿宋_GB2312" w:hAnsi="仿宋" w:hint="eastAsia"/>
          <w:sz w:val="32"/>
          <w:szCs w:val="32"/>
        </w:rPr>
        <w:t>核销全</w:t>
      </w:r>
      <w:proofErr w:type="gramEnd"/>
      <w:r>
        <w:rPr>
          <w:rFonts w:ascii="仿宋_GB2312" w:eastAsia="仿宋_GB2312" w:hAnsi="仿宋" w:hint="eastAsia"/>
          <w:sz w:val="32"/>
          <w:szCs w:val="32"/>
        </w:rPr>
        <w:t>量数据资料一次性录入申报方面，海关和商务局暂未在业务流程方面达成共识。双方具体差异如下：海关提出，可在平台录入手册核销表头数据（核销业务主要数据，但不包括具体进出口商品信息），并通过平台由外经部门出具意见，但全量数据必须通过QP系</w:t>
      </w:r>
      <w:r>
        <w:rPr>
          <w:rFonts w:ascii="仿宋_GB2312" w:eastAsia="仿宋_GB2312" w:hAnsi="仿宋" w:hint="eastAsia"/>
          <w:sz w:val="32"/>
          <w:szCs w:val="32"/>
        </w:rPr>
        <w:lastRenderedPageBreak/>
        <w:t>统再次录入申报；外经部门认为，希望实现一次录入。</w:t>
      </w:r>
    </w:p>
    <w:p w:rsidR="007E3568" w:rsidRDefault="007E3568" w:rsidP="007E3568">
      <w:pPr>
        <w:ind w:firstLineChars="200" w:firstLine="640"/>
        <w:rPr>
          <w:rFonts w:ascii="仿宋_GB2312" w:eastAsia="仿宋_GB2312" w:hAnsi="仿宋" w:hint="eastAsia"/>
          <w:sz w:val="32"/>
          <w:szCs w:val="32"/>
        </w:rPr>
      </w:pPr>
      <w:r>
        <w:rPr>
          <w:rFonts w:ascii="仿宋_GB2312" w:eastAsia="仿宋_GB2312" w:hAnsi="仿宋" w:hint="eastAsia"/>
          <w:sz w:val="32"/>
          <w:szCs w:val="32"/>
        </w:rPr>
        <w:t>（2）所预期“数据共享”功能绩效目标部分达到</w:t>
      </w:r>
    </w:p>
    <w:p w:rsidR="007E3568" w:rsidRDefault="007E3568" w:rsidP="007E3568">
      <w:pPr>
        <w:ind w:firstLineChars="200" w:firstLine="640"/>
        <w:rPr>
          <w:rFonts w:ascii="仿宋_GB2312" w:eastAsia="仿宋_GB2312" w:hAnsi="仿宋" w:hint="eastAsia"/>
          <w:sz w:val="32"/>
          <w:szCs w:val="32"/>
        </w:rPr>
      </w:pPr>
      <w:r>
        <w:rPr>
          <w:rFonts w:ascii="仿宋_GB2312" w:eastAsia="仿宋_GB2312" w:hAnsi="仿宋" w:hint="eastAsia"/>
          <w:sz w:val="32"/>
          <w:szCs w:val="32"/>
        </w:rPr>
        <w:t>首先，虽然该平台已能实现部门间数据通信的技术性功能，但所建设的数据共享功能与电子政务云平台的共享功能有一定重复，且该系统上未见高频率活跃数据交换业务，所联网实现的各部门在该平台上业务功能简单、数据量小，未见高强度数据共享业务需求。</w:t>
      </w:r>
    </w:p>
    <w:p w:rsidR="007E3568" w:rsidRDefault="007E3568" w:rsidP="007E3568">
      <w:pPr>
        <w:ind w:firstLineChars="200" w:firstLine="640"/>
        <w:rPr>
          <w:rFonts w:ascii="仿宋_GB2312" w:eastAsia="仿宋_GB2312" w:hAnsi="仿宋" w:hint="eastAsia"/>
          <w:sz w:val="32"/>
          <w:szCs w:val="32"/>
        </w:rPr>
      </w:pPr>
      <w:r>
        <w:rPr>
          <w:rFonts w:ascii="仿宋_GB2312" w:eastAsia="仿宋_GB2312" w:hAnsi="仿宋" w:hint="eastAsia"/>
          <w:sz w:val="32"/>
          <w:szCs w:val="32"/>
        </w:rPr>
        <w:t>其次，海关和商务局对于数据统计共享形式还未达成共识，导致数据共享功能未实现。各自所希望的数据共享形式差异如下：外经部门提出，由海关每月提供企业进出口、深加工结转、核销、保税料件内销等数据，供外经部门进行统计分析；海关方面提出，只能采用逐次提出申请，逐次提供数据的做法。</w:t>
      </w:r>
    </w:p>
    <w:p w:rsidR="007E3568" w:rsidRDefault="007E3568" w:rsidP="007E3568">
      <w:pPr>
        <w:ind w:firstLineChars="200" w:firstLine="640"/>
        <w:rPr>
          <w:rFonts w:ascii="仿宋_GB2312" w:eastAsia="仿宋_GB2312" w:hAnsi="仿宋" w:hint="eastAsia"/>
          <w:sz w:val="32"/>
          <w:szCs w:val="32"/>
        </w:rPr>
      </w:pPr>
      <w:r>
        <w:rPr>
          <w:rFonts w:ascii="仿宋_GB2312" w:eastAsia="仿宋_GB2312" w:hAnsi="仿宋" w:hint="eastAsia"/>
          <w:sz w:val="32"/>
          <w:szCs w:val="32"/>
        </w:rPr>
        <w:t>（3）所预期“诚信体系”功能绩效目标部分实现</w:t>
      </w:r>
    </w:p>
    <w:p w:rsidR="007E3568" w:rsidRDefault="007E3568" w:rsidP="007E3568">
      <w:pPr>
        <w:ind w:firstLineChars="200" w:firstLine="640"/>
        <w:rPr>
          <w:rFonts w:ascii="仿宋_GB2312" w:eastAsia="仿宋_GB2312" w:hAnsi="仿宋" w:hint="eastAsia"/>
          <w:sz w:val="32"/>
          <w:szCs w:val="32"/>
        </w:rPr>
      </w:pPr>
      <w:r>
        <w:rPr>
          <w:rFonts w:ascii="仿宋_GB2312" w:eastAsia="仿宋_GB2312" w:hAnsi="仿宋" w:hint="eastAsia"/>
          <w:sz w:val="32"/>
          <w:szCs w:val="32"/>
        </w:rPr>
        <w:t>平台已在一定程度上实现了各部门诚信数据的共享展示，实现了将企业在“海关”、“外经贸”、“国税局”、“外汇局”、“检验检疫局”、“财政局”六个部门的诚信等级集中展示功能，但暂未见对企业的诚信等级在各部门之间进行修改的功能，即目前仅仅用于信息展示。同时，未见对诚信信息的深入挖掘、综合分析、具体应用等功能。谁来用，怎么用这个诚信体系存在较大空白。</w:t>
      </w:r>
    </w:p>
    <w:p w:rsidR="007E3568" w:rsidRDefault="007E3568" w:rsidP="007E3568">
      <w:pPr>
        <w:ind w:firstLineChars="200" w:firstLine="640"/>
        <w:rPr>
          <w:rFonts w:ascii="仿宋_GB2312" w:eastAsia="仿宋_GB2312" w:hAnsi="仿宋" w:hint="eastAsia"/>
          <w:b/>
          <w:sz w:val="32"/>
          <w:szCs w:val="32"/>
        </w:rPr>
      </w:pPr>
      <w:r>
        <w:rPr>
          <w:rFonts w:ascii="仿宋_GB2312" w:eastAsia="仿宋_GB2312" w:hAnsi="仿宋" w:hint="eastAsia"/>
          <w:sz w:val="32"/>
          <w:szCs w:val="32"/>
        </w:rPr>
        <w:t>（4）所预期的“创新管理模式，实现在线高效服务” 目</w:t>
      </w:r>
      <w:r>
        <w:rPr>
          <w:rFonts w:ascii="仿宋_GB2312" w:eastAsia="仿宋_GB2312" w:hAnsi="仿宋" w:hint="eastAsia"/>
          <w:sz w:val="32"/>
          <w:szCs w:val="32"/>
        </w:rPr>
        <w:lastRenderedPageBreak/>
        <w:t>标部分实现</w:t>
      </w:r>
    </w:p>
    <w:p w:rsidR="007E3568" w:rsidRDefault="007E3568" w:rsidP="007E3568">
      <w:pPr>
        <w:ind w:firstLineChars="200" w:firstLine="640"/>
        <w:rPr>
          <w:rFonts w:ascii="仿宋_GB2312" w:eastAsia="仿宋_GB2312" w:hAnsi="仿宋" w:hint="eastAsia"/>
          <w:sz w:val="32"/>
          <w:szCs w:val="32"/>
        </w:rPr>
      </w:pPr>
      <w:r>
        <w:rPr>
          <w:rFonts w:ascii="仿宋_GB2312" w:eastAsia="仿宋_GB2312" w:hAnsi="仿宋" w:hint="eastAsia"/>
          <w:sz w:val="32"/>
          <w:szCs w:val="32"/>
        </w:rPr>
        <w:t>该项目尝试实现“部门联网，综合管理”的运作模式，力图实现“优化审批、部门共管、信息共享”，虽然项目建设部分实现“优化平台技术架构，增加平台业务功能，增加平台联网部门和企业数量”的预期目标，但是，由于加工贸易政策的调整，导致该平台原预期的主要功能消失，即外贸审批业务的取消，从而未能完全达到项目预期绩效，因此，在加贸企业的管理模式上，由2012年上线实施的“四方联网”的基础上扩展成2013年预期的“八方联网”，管理形式上未见很好的创新型管理模式，技术实现上也未见创新型应用。</w:t>
      </w:r>
    </w:p>
    <w:p w:rsidR="007E3568" w:rsidRDefault="007E3568" w:rsidP="007E3568">
      <w:pPr>
        <w:spacing w:line="360" w:lineRule="auto"/>
        <w:ind w:firstLine="645"/>
        <w:rPr>
          <w:rFonts w:ascii="仿宋_GB2312" w:eastAsia="仿宋_GB2312" w:hAnsi="黑体" w:hint="eastAsia"/>
          <w:sz w:val="32"/>
          <w:szCs w:val="32"/>
        </w:rPr>
      </w:pPr>
    </w:p>
    <w:p w:rsidR="006E2DEB" w:rsidRPr="007E3568" w:rsidRDefault="006E2DEB">
      <w:bookmarkStart w:id="9" w:name="_GoBack"/>
      <w:bookmarkEnd w:id="9"/>
    </w:p>
    <w:sectPr w:rsidR="006E2DEB" w:rsidRPr="007E356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康简标题宋">
    <w:panose1 w:val="02010609000101010101"/>
    <w:charset w:val="86"/>
    <w:family w:val="modern"/>
    <w:pitch w:val="fixed"/>
    <w:sig w:usb0="00000001" w:usb1="080E0000" w:usb2="00000010" w:usb3="00000000" w:csb0="00040000" w:csb1="00000000"/>
  </w:font>
  <w:font w:name="黑体">
    <w:altName w:val="SimHei"/>
    <w:panose1 w:val="02010600030101010101"/>
    <w:charset w:val="86"/>
    <w:family w:val="modern"/>
    <w:pitch w:val="fixed"/>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0FD0"/>
    <w:rsid w:val="005C0FD0"/>
    <w:rsid w:val="006E2DEB"/>
    <w:rsid w:val="007E35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3568"/>
    <w:pPr>
      <w:widowControl w:val="0"/>
      <w:jc w:val="both"/>
    </w:pPr>
    <w:rPr>
      <w:rFonts w:ascii="Calibri" w:eastAsia="宋体" w:hAnsi="Calibri" w:cs="Times New Roman"/>
    </w:rPr>
  </w:style>
  <w:style w:type="paragraph" w:styleId="2">
    <w:name w:val="heading 2"/>
    <w:basedOn w:val="a"/>
    <w:next w:val="a"/>
    <w:link w:val="2Char"/>
    <w:uiPriority w:val="99"/>
    <w:semiHidden/>
    <w:unhideWhenUsed/>
    <w:qFormat/>
    <w:rsid w:val="007E3568"/>
    <w:pPr>
      <w:keepNext/>
      <w:keepLines/>
      <w:spacing w:line="600" w:lineRule="exact"/>
      <w:outlineLvl w:val="1"/>
    </w:pPr>
    <w:rPr>
      <w:rFonts w:ascii="Cambria" w:eastAsia="楷体_GB2312" w:hAnsi="Cambria"/>
      <w:b/>
      <w:bCs/>
      <w:kern w:val="0"/>
      <w:sz w:val="32"/>
      <w:szCs w:val="32"/>
    </w:rPr>
  </w:style>
  <w:style w:type="paragraph" w:styleId="3">
    <w:name w:val="heading 3"/>
    <w:basedOn w:val="a"/>
    <w:next w:val="a"/>
    <w:link w:val="3Char"/>
    <w:uiPriority w:val="9"/>
    <w:semiHidden/>
    <w:unhideWhenUsed/>
    <w:qFormat/>
    <w:rsid w:val="007E3568"/>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9"/>
    <w:semiHidden/>
    <w:rsid w:val="007E3568"/>
    <w:rPr>
      <w:rFonts w:ascii="Cambria" w:eastAsia="楷体_GB2312" w:hAnsi="Cambria" w:cs="Times New Roman"/>
      <w:b/>
      <w:bCs/>
      <w:kern w:val="0"/>
      <w:sz w:val="32"/>
      <w:szCs w:val="32"/>
    </w:rPr>
  </w:style>
  <w:style w:type="paragraph" w:styleId="20">
    <w:name w:val="toc 2"/>
    <w:basedOn w:val="a"/>
    <w:next w:val="a"/>
    <w:autoRedefine/>
    <w:uiPriority w:val="39"/>
    <w:semiHidden/>
    <w:unhideWhenUsed/>
    <w:qFormat/>
    <w:rsid w:val="007E3568"/>
    <w:pPr>
      <w:widowControl/>
      <w:tabs>
        <w:tab w:val="right" w:leader="dot" w:pos="8931"/>
      </w:tabs>
      <w:spacing w:after="100" w:line="276" w:lineRule="auto"/>
      <w:ind w:leftChars="105" w:left="220" w:rightChars="45" w:right="94" w:firstLineChars="200" w:firstLine="640"/>
      <w:jc w:val="left"/>
    </w:pPr>
    <w:rPr>
      <w:rFonts w:ascii="仿宋_GB2312" w:eastAsia="仿宋_GB2312" w:hAnsi="仿宋"/>
      <w:sz w:val="32"/>
      <w:szCs w:val="32"/>
    </w:rPr>
  </w:style>
  <w:style w:type="paragraph" w:styleId="a3">
    <w:name w:val="Title"/>
    <w:basedOn w:val="a"/>
    <w:next w:val="a"/>
    <w:link w:val="Char"/>
    <w:qFormat/>
    <w:rsid w:val="007E3568"/>
    <w:pPr>
      <w:spacing w:line="600" w:lineRule="exact"/>
      <w:jc w:val="left"/>
      <w:outlineLvl w:val="0"/>
    </w:pPr>
    <w:rPr>
      <w:rFonts w:ascii="Cambria" w:hAnsi="Cambria"/>
      <w:b/>
      <w:bCs/>
      <w:sz w:val="32"/>
      <w:szCs w:val="32"/>
    </w:rPr>
  </w:style>
  <w:style w:type="character" w:customStyle="1" w:styleId="Char">
    <w:name w:val="标题 Char"/>
    <w:basedOn w:val="a0"/>
    <w:link w:val="a3"/>
    <w:rsid w:val="007E3568"/>
    <w:rPr>
      <w:rFonts w:ascii="Cambria" w:eastAsia="宋体" w:hAnsi="Cambria" w:cs="Times New Roman"/>
      <w:b/>
      <w:bCs/>
      <w:sz w:val="32"/>
      <w:szCs w:val="32"/>
    </w:rPr>
  </w:style>
  <w:style w:type="character" w:customStyle="1" w:styleId="858D7CFB-ED40-4347-BF05-701D383B685F">
    <w:name w:val="段落正文[858D7CFB-ED40-4347-BF05-701D383B685F]"/>
    <w:link w:val="a4"/>
    <w:locked/>
    <w:rsid w:val="007E3568"/>
    <w:rPr>
      <w:rFonts w:ascii="Times New Roman" w:eastAsia="宋体" w:hAnsi="Times New Roman" w:cs="Times New Roman"/>
      <w:sz w:val="24"/>
      <w:szCs w:val="24"/>
    </w:rPr>
  </w:style>
  <w:style w:type="paragraph" w:customStyle="1" w:styleId="a4">
    <w:name w:val="段落正文"/>
    <w:basedOn w:val="a"/>
    <w:link w:val="858D7CFB-ED40-4347-BF05-701D383B685F"/>
    <w:qFormat/>
    <w:rsid w:val="007E3568"/>
    <w:pPr>
      <w:spacing w:line="360" w:lineRule="auto"/>
      <w:ind w:firstLineChars="200" w:firstLine="200"/>
      <w:jc w:val="left"/>
    </w:pPr>
    <w:rPr>
      <w:rFonts w:ascii="Times New Roman" w:hAnsi="Times New Roman"/>
      <w:sz w:val="24"/>
      <w:szCs w:val="24"/>
    </w:rPr>
  </w:style>
  <w:style w:type="character" w:customStyle="1" w:styleId="3Char0">
    <w:name w:val="样式3 Char"/>
    <w:link w:val="30"/>
    <w:locked/>
    <w:rsid w:val="007E3568"/>
    <w:rPr>
      <w:rFonts w:ascii="仿宋_GB2312" w:eastAsia="仿宋_GB2312" w:hAnsi="Calibri" w:cs="Times New Roman"/>
      <w:b/>
      <w:bCs/>
      <w:sz w:val="28"/>
      <w:szCs w:val="28"/>
    </w:rPr>
  </w:style>
  <w:style w:type="paragraph" w:customStyle="1" w:styleId="30">
    <w:name w:val="样式3"/>
    <w:basedOn w:val="3"/>
    <w:link w:val="3Char0"/>
    <w:qFormat/>
    <w:rsid w:val="007E3568"/>
    <w:pPr>
      <w:spacing w:before="0" w:after="0" w:line="415" w:lineRule="auto"/>
      <w:ind w:firstLine="420"/>
    </w:pPr>
    <w:rPr>
      <w:rFonts w:ascii="仿宋_GB2312" w:eastAsia="仿宋_GB2312"/>
      <w:sz w:val="28"/>
      <w:szCs w:val="28"/>
    </w:rPr>
  </w:style>
  <w:style w:type="character" w:customStyle="1" w:styleId="3Char">
    <w:name w:val="标题 3 Char"/>
    <w:basedOn w:val="a0"/>
    <w:link w:val="3"/>
    <w:uiPriority w:val="9"/>
    <w:semiHidden/>
    <w:rsid w:val="007E3568"/>
    <w:rPr>
      <w:rFonts w:ascii="Calibri" w:eastAsia="宋体" w:hAnsi="Calibri" w:cs="Times New Roman"/>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3568"/>
    <w:pPr>
      <w:widowControl w:val="0"/>
      <w:jc w:val="both"/>
    </w:pPr>
    <w:rPr>
      <w:rFonts w:ascii="Calibri" w:eastAsia="宋体" w:hAnsi="Calibri" w:cs="Times New Roman"/>
    </w:rPr>
  </w:style>
  <w:style w:type="paragraph" w:styleId="2">
    <w:name w:val="heading 2"/>
    <w:basedOn w:val="a"/>
    <w:next w:val="a"/>
    <w:link w:val="2Char"/>
    <w:uiPriority w:val="99"/>
    <w:semiHidden/>
    <w:unhideWhenUsed/>
    <w:qFormat/>
    <w:rsid w:val="007E3568"/>
    <w:pPr>
      <w:keepNext/>
      <w:keepLines/>
      <w:spacing w:line="600" w:lineRule="exact"/>
      <w:outlineLvl w:val="1"/>
    </w:pPr>
    <w:rPr>
      <w:rFonts w:ascii="Cambria" w:eastAsia="楷体_GB2312" w:hAnsi="Cambria"/>
      <w:b/>
      <w:bCs/>
      <w:kern w:val="0"/>
      <w:sz w:val="32"/>
      <w:szCs w:val="32"/>
    </w:rPr>
  </w:style>
  <w:style w:type="paragraph" w:styleId="3">
    <w:name w:val="heading 3"/>
    <w:basedOn w:val="a"/>
    <w:next w:val="a"/>
    <w:link w:val="3Char"/>
    <w:uiPriority w:val="9"/>
    <w:semiHidden/>
    <w:unhideWhenUsed/>
    <w:qFormat/>
    <w:rsid w:val="007E3568"/>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9"/>
    <w:semiHidden/>
    <w:rsid w:val="007E3568"/>
    <w:rPr>
      <w:rFonts w:ascii="Cambria" w:eastAsia="楷体_GB2312" w:hAnsi="Cambria" w:cs="Times New Roman"/>
      <w:b/>
      <w:bCs/>
      <w:kern w:val="0"/>
      <w:sz w:val="32"/>
      <w:szCs w:val="32"/>
    </w:rPr>
  </w:style>
  <w:style w:type="paragraph" w:styleId="20">
    <w:name w:val="toc 2"/>
    <w:basedOn w:val="a"/>
    <w:next w:val="a"/>
    <w:autoRedefine/>
    <w:uiPriority w:val="39"/>
    <w:semiHidden/>
    <w:unhideWhenUsed/>
    <w:qFormat/>
    <w:rsid w:val="007E3568"/>
    <w:pPr>
      <w:widowControl/>
      <w:tabs>
        <w:tab w:val="right" w:leader="dot" w:pos="8931"/>
      </w:tabs>
      <w:spacing w:after="100" w:line="276" w:lineRule="auto"/>
      <w:ind w:leftChars="105" w:left="220" w:rightChars="45" w:right="94" w:firstLineChars="200" w:firstLine="640"/>
      <w:jc w:val="left"/>
    </w:pPr>
    <w:rPr>
      <w:rFonts w:ascii="仿宋_GB2312" w:eastAsia="仿宋_GB2312" w:hAnsi="仿宋"/>
      <w:sz w:val="32"/>
      <w:szCs w:val="32"/>
    </w:rPr>
  </w:style>
  <w:style w:type="paragraph" w:styleId="a3">
    <w:name w:val="Title"/>
    <w:basedOn w:val="a"/>
    <w:next w:val="a"/>
    <w:link w:val="Char"/>
    <w:qFormat/>
    <w:rsid w:val="007E3568"/>
    <w:pPr>
      <w:spacing w:line="600" w:lineRule="exact"/>
      <w:jc w:val="left"/>
      <w:outlineLvl w:val="0"/>
    </w:pPr>
    <w:rPr>
      <w:rFonts w:ascii="Cambria" w:hAnsi="Cambria"/>
      <w:b/>
      <w:bCs/>
      <w:sz w:val="32"/>
      <w:szCs w:val="32"/>
    </w:rPr>
  </w:style>
  <w:style w:type="character" w:customStyle="1" w:styleId="Char">
    <w:name w:val="标题 Char"/>
    <w:basedOn w:val="a0"/>
    <w:link w:val="a3"/>
    <w:rsid w:val="007E3568"/>
    <w:rPr>
      <w:rFonts w:ascii="Cambria" w:eastAsia="宋体" w:hAnsi="Cambria" w:cs="Times New Roman"/>
      <w:b/>
      <w:bCs/>
      <w:sz w:val="32"/>
      <w:szCs w:val="32"/>
    </w:rPr>
  </w:style>
  <w:style w:type="character" w:customStyle="1" w:styleId="858D7CFB-ED40-4347-BF05-701D383B685F">
    <w:name w:val="段落正文[858D7CFB-ED40-4347-BF05-701D383B685F]"/>
    <w:link w:val="a4"/>
    <w:locked/>
    <w:rsid w:val="007E3568"/>
    <w:rPr>
      <w:rFonts w:ascii="Times New Roman" w:eastAsia="宋体" w:hAnsi="Times New Roman" w:cs="Times New Roman"/>
      <w:sz w:val="24"/>
      <w:szCs w:val="24"/>
    </w:rPr>
  </w:style>
  <w:style w:type="paragraph" w:customStyle="1" w:styleId="a4">
    <w:name w:val="段落正文"/>
    <w:basedOn w:val="a"/>
    <w:link w:val="858D7CFB-ED40-4347-BF05-701D383B685F"/>
    <w:qFormat/>
    <w:rsid w:val="007E3568"/>
    <w:pPr>
      <w:spacing w:line="360" w:lineRule="auto"/>
      <w:ind w:firstLineChars="200" w:firstLine="200"/>
      <w:jc w:val="left"/>
    </w:pPr>
    <w:rPr>
      <w:rFonts w:ascii="Times New Roman" w:hAnsi="Times New Roman"/>
      <w:sz w:val="24"/>
      <w:szCs w:val="24"/>
    </w:rPr>
  </w:style>
  <w:style w:type="character" w:customStyle="1" w:styleId="3Char0">
    <w:name w:val="样式3 Char"/>
    <w:link w:val="30"/>
    <w:locked/>
    <w:rsid w:val="007E3568"/>
    <w:rPr>
      <w:rFonts w:ascii="仿宋_GB2312" w:eastAsia="仿宋_GB2312" w:hAnsi="Calibri" w:cs="Times New Roman"/>
      <w:b/>
      <w:bCs/>
      <w:sz w:val="28"/>
      <w:szCs w:val="28"/>
    </w:rPr>
  </w:style>
  <w:style w:type="paragraph" w:customStyle="1" w:styleId="30">
    <w:name w:val="样式3"/>
    <w:basedOn w:val="3"/>
    <w:link w:val="3Char0"/>
    <w:qFormat/>
    <w:rsid w:val="007E3568"/>
    <w:pPr>
      <w:spacing w:before="0" w:after="0" w:line="415" w:lineRule="auto"/>
      <w:ind w:firstLine="420"/>
    </w:pPr>
    <w:rPr>
      <w:rFonts w:ascii="仿宋_GB2312" w:eastAsia="仿宋_GB2312"/>
      <w:sz w:val="28"/>
      <w:szCs w:val="28"/>
    </w:rPr>
  </w:style>
  <w:style w:type="character" w:customStyle="1" w:styleId="3Char">
    <w:name w:val="标题 3 Char"/>
    <w:basedOn w:val="a0"/>
    <w:link w:val="3"/>
    <w:uiPriority w:val="9"/>
    <w:semiHidden/>
    <w:rsid w:val="007E3568"/>
    <w:rPr>
      <w:rFonts w:ascii="Calibri" w:eastAsia="宋体" w:hAnsi="Calibri" w:cs="Times New Roman"/>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8181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568</Words>
  <Characters>3240</Characters>
  <Application>Microsoft Office Word</Application>
  <DocSecurity>0</DocSecurity>
  <Lines>27</Lines>
  <Paragraphs>7</Paragraphs>
  <ScaleCrop>false</ScaleCrop>
  <Company>Chinese ORG</Company>
  <LinksUpToDate>false</LinksUpToDate>
  <CharactersWithSpaces>3801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Chinese User</dc:creator>
  <cp:keywords/>
  <dc:description/>
  <cp:lastModifiedBy>Chinese User</cp:lastModifiedBy>
  <cp:revision>2</cp:revision>
  <dcterms:created xsi:type="dcterms:W3CDTF">2015-11-19T07:10:00Z</dcterms:created>
  <dcterms:modified xsi:type="dcterms:W3CDTF">2015-11-19T07:11:00Z</dcterms:modified>
</cp:coreProperties>
</file>